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1BDCD" w14:textId="3947393A" w:rsidR="00B03D32" w:rsidRPr="00B03D32" w:rsidRDefault="00B03D32" w:rsidP="00B03D32">
      <w:pPr>
        <w:rPr>
          <w:rFonts w:ascii="Times New Roman" w:eastAsia="Times New Roman" w:hAnsi="Times New Roman" w:cs="Times New Roman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ACAAC9A" wp14:editId="358F4EE2">
            <wp:simplePos x="0" y="0"/>
            <wp:positionH relativeFrom="column">
              <wp:posOffset>-699173</wp:posOffset>
            </wp:positionH>
            <wp:positionV relativeFrom="paragraph">
              <wp:posOffset>-614232</wp:posOffset>
            </wp:positionV>
            <wp:extent cx="1676157" cy="509889"/>
            <wp:effectExtent l="0" t="0" r="63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ell_Gossett_Xylem_4c.ep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157" cy="509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7C89E77" wp14:editId="0501C635">
            <wp:simplePos x="0" y="0"/>
            <wp:positionH relativeFrom="column">
              <wp:posOffset>-1193800</wp:posOffset>
            </wp:positionH>
            <wp:positionV relativeFrom="paragraph">
              <wp:posOffset>-914401</wp:posOffset>
            </wp:positionV>
            <wp:extent cx="7806267" cy="2120522"/>
            <wp:effectExtent l="0" t="0" r="4445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rtboard 3 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806267" cy="2120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F4884" w14:textId="30AEAFF2" w:rsidR="00B03D32" w:rsidRPr="00B03D32" w:rsidRDefault="00B03D32" w:rsidP="00B03D32">
      <w:pPr>
        <w:rPr>
          <w:rFonts w:ascii="Times New Roman" w:eastAsia="Times New Roman" w:hAnsi="Times New Roman" w:cs="Times New Roman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3E15D" wp14:editId="23ACDAC7">
                <wp:simplePos x="0" y="0"/>
                <wp:positionH relativeFrom="column">
                  <wp:posOffset>-126788</wp:posOffset>
                </wp:positionH>
                <wp:positionV relativeFrom="paragraph">
                  <wp:posOffset>213995</wp:posOffset>
                </wp:positionV>
                <wp:extent cx="5672455" cy="57531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2455" cy="575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A238D8" w14:textId="0D40EFEB" w:rsidR="00B03D32" w:rsidRPr="00B03D32" w:rsidRDefault="00B03D32" w:rsidP="009153A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22"/>
                              </w:rPr>
                            </w:pPr>
                            <w:r w:rsidRPr="00B03D3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22"/>
                              </w:rPr>
                              <w:t>Xylem study analyzes life</w:t>
                            </w:r>
                            <w:r w:rsidR="00F46C5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Pr="00B03D3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22"/>
                              </w:rPr>
                              <w:t>cycle cost of HVAC systems</w:t>
                            </w:r>
                            <w:r w:rsidRPr="00B03D3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22"/>
                              </w:rPr>
                              <w:br/>
                            </w:r>
                            <w:r w:rsidRPr="00B03D32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32"/>
                                <w:szCs w:val="22"/>
                              </w:rPr>
                              <w:t>Hydronic systems outperform VRF, analysis finds</w:t>
                            </w:r>
                          </w:p>
                          <w:p w14:paraId="6FE37B65" w14:textId="77777777" w:rsidR="00B03D32" w:rsidRPr="00B03D32" w:rsidRDefault="00B03D32" w:rsidP="009153AA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3E15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0pt;margin-top:16.85pt;width:446.65pt;height:45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" filled="f" stroked="f" strokeweight=".5pt">
                <v:textbox>
                  <w:txbxContent>
                    <w:p w14:paraId="36A238D8" w14:textId="0D40EFEB" w:rsidR="00B03D32" w:rsidRPr="00B03D32" w:rsidRDefault="00B03D32" w:rsidP="009153AA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22"/>
                        </w:rPr>
                      </w:pPr>
                      <w:r w:rsidRPr="00B03D32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22"/>
                        </w:rPr>
                        <w:t>Xylem study analyzes life</w:t>
                      </w:r>
                      <w:r w:rsidR="00F46C55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22"/>
                        </w:rPr>
                        <w:t xml:space="preserve"> </w:t>
                      </w:r>
                      <w:r w:rsidRPr="00B03D32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22"/>
                        </w:rPr>
                        <w:t>cycle cost of HVAC systems</w:t>
                      </w:r>
                      <w:r w:rsidRPr="00B03D32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22"/>
                        </w:rPr>
                        <w:br/>
                      </w:r>
                      <w:r w:rsidRPr="00B03D32">
                        <w:rPr>
                          <w:rFonts w:ascii="Arial" w:hAnsi="Arial" w:cs="Arial"/>
                          <w:i/>
                          <w:color w:val="FFFFFF" w:themeColor="background1"/>
                          <w:sz w:val="32"/>
                          <w:szCs w:val="22"/>
                        </w:rPr>
                        <w:t>Hydronic systems outperform VRF, analysis finds</w:t>
                      </w:r>
                    </w:p>
                    <w:p w14:paraId="6FE37B65" w14:textId="77777777" w:rsidR="00B03D32" w:rsidRPr="00B03D32" w:rsidRDefault="00B03D32" w:rsidP="009153AA">
                      <w:pPr>
                        <w:jc w:val="center"/>
                        <w:rPr>
                          <w:color w:val="FFFFFF" w:themeColor="background1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03D32">
        <w:rPr>
          <w:rFonts w:ascii="Times New Roman" w:eastAsia="Times New Roman" w:hAnsi="Times New Roman" w:cs="Times New Roman"/>
        </w:rPr>
        <w:fldChar w:fldCharType="begin"/>
      </w:r>
      <w:r w:rsidRPr="00B03D32">
        <w:rPr>
          <w:rFonts w:ascii="Times New Roman" w:eastAsia="Times New Roman" w:hAnsi="Times New Roman" w:cs="Times New Roman"/>
        </w:rPr>
        <w:instrText xml:space="preserve"> INCLUDEPICTURE "/var/folders/91/3fzmpbm57p39h0jdsm1ndr_r0000gn/T/com.microsoft.Word/WebArchiveCopyPasteTempFiles/page1image256" \* MERGEFORMATINET </w:instrText>
      </w:r>
      <w:r w:rsidRPr="00B03D32">
        <w:rPr>
          <w:rFonts w:ascii="Times New Roman" w:eastAsia="Times New Roman" w:hAnsi="Times New Roman" w:cs="Times New Roman"/>
        </w:rPr>
        <w:fldChar w:fldCharType="end"/>
      </w:r>
    </w:p>
    <w:p w14:paraId="5B569755" w14:textId="734B7404" w:rsidR="00D02AA5" w:rsidRDefault="00D02AA5" w:rsidP="005A6B3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19EDE6F" w14:textId="29517156" w:rsidR="00D02AA5" w:rsidRDefault="00D02AA5" w:rsidP="005A6B3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446F44A" w14:textId="77777777" w:rsidR="00D02AA5" w:rsidRDefault="00D02AA5" w:rsidP="005A6B3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6B99864" w14:textId="77777777" w:rsidR="00D02AA5" w:rsidRDefault="00D02AA5" w:rsidP="005A6B3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EEA1CAF" w14:textId="77777777" w:rsidR="00D02AA5" w:rsidRDefault="00D02AA5" w:rsidP="005A6B3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70C5180" w14:textId="77777777" w:rsidR="00B03D32" w:rsidRDefault="00B03D32" w:rsidP="002421A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F380180" w14:textId="672C8A1A" w:rsidR="002421AB" w:rsidRPr="00B03D32" w:rsidRDefault="00D56A38" w:rsidP="003C7CFC">
      <w:pPr>
        <w:rPr>
          <w:rFonts w:ascii="Arial" w:hAnsi="Arial" w:cs="Arial"/>
          <w:b/>
          <w:color w:val="0D0D0D" w:themeColor="text1" w:themeTint="F2"/>
          <w:sz w:val="22"/>
          <w:szCs w:val="22"/>
        </w:rPr>
      </w:pPr>
      <w:r w:rsidRPr="00B03D32">
        <w:rPr>
          <w:rFonts w:ascii="Arial" w:hAnsi="Arial" w:cs="Arial"/>
          <w:b/>
          <w:color w:val="0D0D0D" w:themeColor="text1" w:themeTint="F2"/>
          <w:sz w:val="22"/>
          <w:szCs w:val="22"/>
        </w:rPr>
        <w:t>Introduction</w:t>
      </w:r>
    </w:p>
    <w:p w14:paraId="5A70A0C6" w14:textId="02190D16" w:rsidR="00D56A38" w:rsidRPr="00B03D32" w:rsidRDefault="002421AB" w:rsidP="003C7CFC">
      <w:pPr>
        <w:rPr>
          <w:rFonts w:ascii="Arial" w:hAnsi="Arial" w:cs="Arial"/>
          <w:color w:val="0D0D0D" w:themeColor="text1" w:themeTint="F2"/>
          <w:sz w:val="22"/>
          <w:szCs w:val="22"/>
        </w:rPr>
      </w:pP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Upfront costs and energy consumption are primary drivers when </w:t>
      </w:r>
      <w:r w:rsidR="00D56A38" w:rsidRPr="00B03D32">
        <w:rPr>
          <w:rFonts w:ascii="Arial" w:hAnsi="Arial" w:cs="Arial"/>
          <w:color w:val="0D0D0D" w:themeColor="text1" w:themeTint="F2"/>
          <w:sz w:val="22"/>
          <w:szCs w:val="22"/>
        </w:rPr>
        <w:t>selecting a commercial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HVAC system</w:t>
      </w:r>
      <w:r w:rsidR="00D56A38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in new and retrofit projects. A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new study commissioned by Xylem underscores the importance of </w:t>
      </w:r>
      <w:r w:rsidR="005A6B3A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evaluating </w:t>
      </w:r>
      <w:r w:rsidR="00D56A38" w:rsidRPr="00B03D32">
        <w:rPr>
          <w:rFonts w:ascii="Arial" w:hAnsi="Arial" w:cs="Arial"/>
          <w:color w:val="0D0D0D" w:themeColor="text1" w:themeTint="F2"/>
          <w:sz w:val="22"/>
          <w:szCs w:val="22"/>
        </w:rPr>
        <w:t>total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life</w:t>
      </w:r>
      <w:r w:rsidR="00F46C55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>cycle cost</w:t>
      </w:r>
      <w:r w:rsidR="00D56A38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in the selection process </w:t>
      </w:r>
      <w:r w:rsidR="002C66CD" w:rsidRPr="00B03D32">
        <w:rPr>
          <w:rFonts w:ascii="Arial" w:hAnsi="Arial" w:cs="Arial"/>
          <w:color w:val="0D0D0D" w:themeColor="text1" w:themeTint="F2"/>
          <w:sz w:val="22"/>
          <w:szCs w:val="22"/>
        </w:rPr>
        <w:t>to adequately identify pros and cons of the various system types</w:t>
      </w:r>
      <w:r w:rsidR="003B60E7" w:rsidRPr="00B03D32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11B74D14" w14:textId="77777777" w:rsidR="009221B1" w:rsidRPr="00B03D32" w:rsidRDefault="009221B1" w:rsidP="003C7CFC">
      <w:pPr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18BC4405" w14:textId="7C7B0AD3" w:rsidR="00D56A38" w:rsidRPr="00B03D32" w:rsidRDefault="00865C10" w:rsidP="003C7CFC">
      <w:pPr>
        <w:rPr>
          <w:rFonts w:ascii="Arial" w:hAnsi="Arial" w:cs="Arial"/>
          <w:color w:val="0D0D0D" w:themeColor="text1" w:themeTint="F2"/>
          <w:sz w:val="22"/>
          <w:szCs w:val="22"/>
        </w:rPr>
      </w:pP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>To anec</w:t>
      </w:r>
      <w:r w:rsidR="00C17302" w:rsidRPr="00B03D32">
        <w:rPr>
          <w:rFonts w:ascii="Arial" w:hAnsi="Arial" w:cs="Arial"/>
          <w:color w:val="0D0D0D" w:themeColor="text1" w:themeTint="F2"/>
          <w:sz w:val="22"/>
          <w:szCs w:val="22"/>
        </w:rPr>
        <w:t>dotally compare and contrast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HVAC systems </w:t>
      </w:r>
      <w:r w:rsidR="00FC3ABE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according to their 30-year </w:t>
      </w:r>
      <w:r w:rsidR="00B360CF" w:rsidRPr="00B03D32">
        <w:rPr>
          <w:rFonts w:ascii="Arial" w:hAnsi="Arial" w:cs="Arial"/>
          <w:color w:val="0D0D0D" w:themeColor="text1" w:themeTint="F2"/>
          <w:sz w:val="22"/>
          <w:szCs w:val="22"/>
        </w:rPr>
        <w:t>life cycle cost analysis (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>LCCA</w:t>
      </w:r>
      <w:r w:rsidR="00B360CF" w:rsidRPr="00B03D32">
        <w:rPr>
          <w:rFonts w:ascii="Arial" w:hAnsi="Arial" w:cs="Arial"/>
          <w:color w:val="0D0D0D" w:themeColor="text1" w:themeTint="F2"/>
          <w:sz w:val="22"/>
          <w:szCs w:val="22"/>
        </w:rPr>
        <w:t>)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, </w:t>
      </w:r>
      <w:r w:rsidR="00D56A38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the </w:t>
      </w:r>
      <w:r w:rsidR="005547CA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Xylem </w:t>
      </w:r>
      <w:r w:rsidR="00997548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study analyzed 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>seven elementary and middle schools l</w:t>
      </w:r>
      <w:r w:rsidR="00997548" w:rsidRPr="00B03D32">
        <w:rPr>
          <w:rFonts w:ascii="Arial" w:hAnsi="Arial" w:cs="Arial"/>
          <w:color w:val="0D0D0D" w:themeColor="text1" w:themeTint="F2"/>
          <w:sz w:val="22"/>
          <w:szCs w:val="22"/>
        </w:rPr>
        <w:t>ocated in South Carolina</w:t>
      </w:r>
      <w:r w:rsidR="0038031E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Climate</w:t>
      </w:r>
      <w:r w:rsidR="00997548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Zone 3A</w:t>
      </w:r>
      <w:r w:rsidR="00D56A38" w:rsidRPr="00B03D32">
        <w:rPr>
          <w:rFonts w:ascii="Arial" w:hAnsi="Arial" w:cs="Arial"/>
          <w:color w:val="0D0D0D" w:themeColor="text1" w:themeTint="F2"/>
          <w:sz w:val="22"/>
          <w:szCs w:val="22"/>
        </w:rPr>
        <w:t>,</w:t>
      </w:r>
      <w:bookmarkStart w:id="0" w:name="_GoBack"/>
      <w:bookmarkEnd w:id="0"/>
      <w:r w:rsidR="00D56A38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a humid, warm climate. </w:t>
      </w:r>
      <w:r w:rsidR="00997548" w:rsidRPr="00B03D32">
        <w:rPr>
          <w:rFonts w:ascii="Arial" w:hAnsi="Arial" w:cs="Arial"/>
          <w:color w:val="0D0D0D" w:themeColor="text1" w:themeTint="F2"/>
          <w:sz w:val="22"/>
          <w:szCs w:val="22"/>
        </w:rPr>
        <w:t>The</w:t>
      </w:r>
      <w:r w:rsidR="001755BC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cost analysis includes upfront installed cost, replacement cost allocations and ongo</w:t>
      </w:r>
      <w:r w:rsidR="00B902A4" w:rsidRPr="00B03D32">
        <w:rPr>
          <w:rFonts w:ascii="Arial" w:hAnsi="Arial" w:cs="Arial"/>
          <w:color w:val="0D0D0D" w:themeColor="text1" w:themeTint="F2"/>
          <w:sz w:val="22"/>
          <w:szCs w:val="22"/>
        </w:rPr>
        <w:t>ing energy and maintenance cost of the following system types</w:t>
      </w:r>
      <w:r w:rsidR="00D56A38" w:rsidRPr="00B03D32">
        <w:rPr>
          <w:rFonts w:ascii="Arial" w:hAnsi="Arial" w:cs="Arial"/>
          <w:color w:val="0D0D0D" w:themeColor="text1" w:themeTint="F2"/>
          <w:sz w:val="22"/>
          <w:szCs w:val="22"/>
        </w:rPr>
        <w:t>:</w:t>
      </w:r>
    </w:p>
    <w:p w14:paraId="0AA6A027" w14:textId="77777777" w:rsidR="00D56A38" w:rsidRPr="00B03D32" w:rsidRDefault="00D56A38" w:rsidP="003C7CFC">
      <w:pPr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29F85AB3" w14:textId="490C9910" w:rsidR="00D56A38" w:rsidRPr="00B03D32" w:rsidRDefault="00B902A4" w:rsidP="003C7CFC">
      <w:pPr>
        <w:pStyle w:val="ListParagraph"/>
        <w:numPr>
          <w:ilvl w:val="0"/>
          <w:numId w:val="3"/>
        </w:numPr>
        <w:rPr>
          <w:rFonts w:ascii="Arial" w:hAnsi="Arial" w:cs="Arial"/>
          <w:color w:val="0D0D0D" w:themeColor="text1" w:themeTint="F2"/>
          <w:sz w:val="22"/>
          <w:szCs w:val="22"/>
        </w:rPr>
      </w:pP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Variable </w:t>
      </w:r>
      <w:r w:rsidR="00D56A38" w:rsidRPr="00B03D32">
        <w:rPr>
          <w:rFonts w:ascii="Arial" w:hAnsi="Arial" w:cs="Arial"/>
          <w:color w:val="0D0D0D" w:themeColor="text1" w:themeTint="F2"/>
          <w:sz w:val="22"/>
          <w:szCs w:val="22"/>
        </w:rPr>
        <w:t>r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efrigerant </w:t>
      </w:r>
      <w:r w:rsidR="00D56A38" w:rsidRPr="00B03D32">
        <w:rPr>
          <w:rFonts w:ascii="Arial" w:hAnsi="Arial" w:cs="Arial"/>
          <w:color w:val="0D0D0D" w:themeColor="text1" w:themeTint="F2"/>
          <w:sz w:val="22"/>
          <w:szCs w:val="22"/>
        </w:rPr>
        <w:t>f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low </w:t>
      </w:r>
      <w:r w:rsidR="00D56A38" w:rsidRPr="00B03D32">
        <w:rPr>
          <w:rFonts w:ascii="Arial" w:hAnsi="Arial" w:cs="Arial"/>
          <w:color w:val="0D0D0D" w:themeColor="text1" w:themeTint="F2"/>
          <w:sz w:val="22"/>
          <w:szCs w:val="22"/>
        </w:rPr>
        <w:t>h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eat </w:t>
      </w:r>
      <w:r w:rsidR="00D56A38" w:rsidRPr="00B03D32">
        <w:rPr>
          <w:rFonts w:ascii="Arial" w:hAnsi="Arial" w:cs="Arial"/>
          <w:color w:val="0D0D0D" w:themeColor="text1" w:themeTint="F2"/>
          <w:sz w:val="22"/>
          <w:szCs w:val="22"/>
        </w:rPr>
        <w:t>p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>umps (VRF)</w:t>
      </w:r>
    </w:p>
    <w:p w14:paraId="5246BAD1" w14:textId="29A7B637" w:rsidR="00D56A38" w:rsidRPr="00B03D32" w:rsidRDefault="00B902A4" w:rsidP="003C7CFC">
      <w:pPr>
        <w:pStyle w:val="ListParagraph"/>
        <w:numPr>
          <w:ilvl w:val="0"/>
          <w:numId w:val="3"/>
        </w:numPr>
        <w:rPr>
          <w:rFonts w:ascii="Arial" w:hAnsi="Arial" w:cs="Arial"/>
          <w:color w:val="0D0D0D" w:themeColor="text1" w:themeTint="F2"/>
          <w:sz w:val="22"/>
          <w:szCs w:val="22"/>
        </w:rPr>
      </w:pP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Water </w:t>
      </w:r>
      <w:r w:rsidR="00D56A38" w:rsidRPr="00B03D32">
        <w:rPr>
          <w:rFonts w:ascii="Arial" w:hAnsi="Arial" w:cs="Arial"/>
          <w:color w:val="0D0D0D" w:themeColor="text1" w:themeTint="F2"/>
          <w:sz w:val="22"/>
          <w:szCs w:val="22"/>
        </w:rPr>
        <w:t>s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ource </w:t>
      </w:r>
      <w:r w:rsidR="00D56A38" w:rsidRPr="00B03D32">
        <w:rPr>
          <w:rFonts w:ascii="Arial" w:hAnsi="Arial" w:cs="Arial"/>
          <w:color w:val="0D0D0D" w:themeColor="text1" w:themeTint="F2"/>
          <w:sz w:val="22"/>
          <w:szCs w:val="22"/>
        </w:rPr>
        <w:t>h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eat </w:t>
      </w:r>
      <w:r w:rsidR="00D56A38" w:rsidRPr="00B03D32">
        <w:rPr>
          <w:rFonts w:ascii="Arial" w:hAnsi="Arial" w:cs="Arial"/>
          <w:color w:val="0D0D0D" w:themeColor="text1" w:themeTint="F2"/>
          <w:sz w:val="22"/>
          <w:szCs w:val="22"/>
        </w:rPr>
        <w:t>p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>umps (WSHP)</w:t>
      </w:r>
    </w:p>
    <w:p w14:paraId="6750E4EE" w14:textId="34244230" w:rsidR="00D56A38" w:rsidRPr="00B03D32" w:rsidRDefault="00B902A4" w:rsidP="003C7CFC">
      <w:pPr>
        <w:pStyle w:val="ListParagraph"/>
        <w:numPr>
          <w:ilvl w:val="0"/>
          <w:numId w:val="3"/>
        </w:numPr>
        <w:rPr>
          <w:rFonts w:ascii="Arial" w:hAnsi="Arial" w:cs="Arial"/>
          <w:color w:val="0D0D0D" w:themeColor="text1" w:themeTint="F2"/>
          <w:sz w:val="22"/>
          <w:szCs w:val="22"/>
        </w:rPr>
      </w:pP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Ground </w:t>
      </w:r>
      <w:r w:rsidR="00D56A38" w:rsidRPr="00B03D32">
        <w:rPr>
          <w:rFonts w:ascii="Arial" w:hAnsi="Arial" w:cs="Arial"/>
          <w:color w:val="0D0D0D" w:themeColor="text1" w:themeTint="F2"/>
          <w:sz w:val="22"/>
          <w:szCs w:val="22"/>
        </w:rPr>
        <w:t>s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ource </w:t>
      </w:r>
      <w:r w:rsidR="00D56A38" w:rsidRPr="00B03D32">
        <w:rPr>
          <w:rFonts w:ascii="Arial" w:hAnsi="Arial" w:cs="Arial"/>
          <w:color w:val="0D0D0D" w:themeColor="text1" w:themeTint="F2"/>
          <w:sz w:val="22"/>
          <w:szCs w:val="22"/>
        </w:rPr>
        <w:t>h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eat </w:t>
      </w:r>
      <w:r w:rsidR="00D56A38" w:rsidRPr="00B03D32">
        <w:rPr>
          <w:rFonts w:ascii="Arial" w:hAnsi="Arial" w:cs="Arial"/>
          <w:color w:val="0D0D0D" w:themeColor="text1" w:themeTint="F2"/>
          <w:sz w:val="22"/>
          <w:szCs w:val="22"/>
        </w:rPr>
        <w:t>p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>umps (GSHP)</w:t>
      </w:r>
    </w:p>
    <w:p w14:paraId="5B4A4713" w14:textId="1182A83C" w:rsidR="00D56A38" w:rsidRPr="00B03D32" w:rsidRDefault="00B902A4" w:rsidP="003C7CFC">
      <w:pPr>
        <w:pStyle w:val="ListParagraph"/>
        <w:numPr>
          <w:ilvl w:val="0"/>
          <w:numId w:val="3"/>
        </w:numPr>
        <w:rPr>
          <w:rFonts w:ascii="Arial" w:hAnsi="Arial" w:cs="Arial"/>
          <w:color w:val="0D0D0D" w:themeColor="text1" w:themeTint="F2"/>
          <w:sz w:val="22"/>
          <w:szCs w:val="22"/>
        </w:rPr>
      </w:pP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Direct </w:t>
      </w:r>
      <w:r w:rsidR="00D56A38" w:rsidRPr="00B03D32">
        <w:rPr>
          <w:rFonts w:ascii="Arial" w:hAnsi="Arial" w:cs="Arial"/>
          <w:color w:val="0D0D0D" w:themeColor="text1" w:themeTint="F2"/>
          <w:sz w:val="22"/>
          <w:szCs w:val="22"/>
        </w:rPr>
        <w:t>e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xpansion </w:t>
      </w:r>
      <w:r w:rsidR="00D56A38" w:rsidRPr="00B03D32">
        <w:rPr>
          <w:rFonts w:ascii="Arial" w:hAnsi="Arial" w:cs="Arial"/>
          <w:color w:val="0D0D0D" w:themeColor="text1" w:themeTint="F2"/>
          <w:sz w:val="22"/>
          <w:szCs w:val="22"/>
        </w:rPr>
        <w:t>r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ooftop </w:t>
      </w:r>
      <w:r w:rsidR="00D56A38" w:rsidRPr="00B03D32">
        <w:rPr>
          <w:rFonts w:ascii="Arial" w:hAnsi="Arial" w:cs="Arial"/>
          <w:color w:val="0D0D0D" w:themeColor="text1" w:themeTint="F2"/>
          <w:sz w:val="22"/>
          <w:szCs w:val="22"/>
        </w:rPr>
        <w:t>u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>nits (DX RT</w:t>
      </w:r>
      <w:r w:rsidR="00A55B27" w:rsidRPr="00B03D32">
        <w:rPr>
          <w:rFonts w:ascii="Arial" w:hAnsi="Arial" w:cs="Arial"/>
          <w:color w:val="0D0D0D" w:themeColor="text1" w:themeTint="F2"/>
          <w:sz w:val="22"/>
          <w:szCs w:val="22"/>
        </w:rPr>
        <w:t>U)</w:t>
      </w:r>
    </w:p>
    <w:p w14:paraId="3C319FAE" w14:textId="09DE086C" w:rsidR="00D56A38" w:rsidRPr="00B03D32" w:rsidRDefault="00A55B27" w:rsidP="003C7CFC">
      <w:pPr>
        <w:pStyle w:val="ListParagraph"/>
        <w:numPr>
          <w:ilvl w:val="0"/>
          <w:numId w:val="3"/>
        </w:numPr>
        <w:rPr>
          <w:rFonts w:ascii="Arial" w:hAnsi="Arial" w:cs="Arial"/>
          <w:color w:val="0D0D0D" w:themeColor="text1" w:themeTint="F2"/>
          <w:sz w:val="22"/>
          <w:szCs w:val="22"/>
        </w:rPr>
      </w:pP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Water </w:t>
      </w:r>
      <w:r w:rsidR="00D56A38" w:rsidRPr="00B03D32">
        <w:rPr>
          <w:rFonts w:ascii="Arial" w:hAnsi="Arial" w:cs="Arial"/>
          <w:color w:val="0D0D0D" w:themeColor="text1" w:themeTint="F2"/>
          <w:sz w:val="22"/>
          <w:szCs w:val="22"/>
        </w:rPr>
        <w:t>c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ooled </w:t>
      </w:r>
      <w:r w:rsidR="00D56A38" w:rsidRPr="00B03D32">
        <w:rPr>
          <w:rFonts w:ascii="Arial" w:hAnsi="Arial" w:cs="Arial"/>
          <w:color w:val="0D0D0D" w:themeColor="text1" w:themeTint="F2"/>
          <w:sz w:val="22"/>
          <w:szCs w:val="22"/>
        </w:rPr>
        <w:t>c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>hillers (WCC)</w:t>
      </w:r>
      <w:r w:rsidR="00B902A4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</w:p>
    <w:p w14:paraId="367130CF" w14:textId="79B71453" w:rsidR="00B43E4B" w:rsidRPr="00B03D32" w:rsidRDefault="00B902A4" w:rsidP="003C7CFC">
      <w:pPr>
        <w:pStyle w:val="ListParagraph"/>
        <w:numPr>
          <w:ilvl w:val="0"/>
          <w:numId w:val="4"/>
        </w:numPr>
        <w:rPr>
          <w:rFonts w:ascii="Arial" w:hAnsi="Arial" w:cs="Arial"/>
          <w:color w:val="0D0D0D" w:themeColor="text1" w:themeTint="F2"/>
          <w:sz w:val="22"/>
          <w:szCs w:val="22"/>
        </w:rPr>
      </w:pP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>Air-Cooled Chillers (ACC)</w:t>
      </w:r>
    </w:p>
    <w:p w14:paraId="7F93BDA4" w14:textId="4824C28F" w:rsidR="00BA1A49" w:rsidRPr="00B03D32" w:rsidRDefault="00BA1A49" w:rsidP="00BA1A49">
      <w:pPr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4548D365" w14:textId="16D006F5" w:rsidR="00BA1A49" w:rsidRPr="00B03D32" w:rsidRDefault="00BA1A49" w:rsidP="00F6663A">
      <w:pPr>
        <w:rPr>
          <w:rFonts w:ascii="Arial" w:hAnsi="Arial" w:cs="Arial"/>
          <w:color w:val="0D0D0D" w:themeColor="text1" w:themeTint="F2"/>
          <w:sz w:val="22"/>
          <w:szCs w:val="22"/>
        </w:rPr>
      </w:pP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>With HVAC systems dictating as much as 50 percent of the overall energy use of K-12 buildings, according to ENERGYSTAR, the results of the Xylem study serve to inform decisions and promote maximized energy savings across the commercial construction industry.</w:t>
      </w:r>
    </w:p>
    <w:p w14:paraId="2CD1FF18" w14:textId="0F34066D" w:rsidR="009221B1" w:rsidRPr="00B03D32" w:rsidRDefault="009221B1" w:rsidP="003C7CFC">
      <w:pPr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59E73ABE" w14:textId="6FC3D4DB" w:rsidR="009221B1" w:rsidRPr="00B03D32" w:rsidRDefault="009221B1" w:rsidP="003C7CFC">
      <w:pPr>
        <w:rPr>
          <w:rFonts w:ascii="Arial" w:hAnsi="Arial" w:cs="Arial"/>
          <w:b/>
          <w:color w:val="0D0D0D" w:themeColor="text1" w:themeTint="F2"/>
          <w:sz w:val="22"/>
          <w:szCs w:val="22"/>
        </w:rPr>
      </w:pPr>
      <w:r w:rsidRPr="00B03D32">
        <w:rPr>
          <w:rFonts w:ascii="Arial" w:hAnsi="Arial" w:cs="Arial"/>
          <w:b/>
          <w:color w:val="0D0D0D" w:themeColor="text1" w:themeTint="F2"/>
          <w:sz w:val="22"/>
          <w:szCs w:val="22"/>
        </w:rPr>
        <w:t>Methodology</w:t>
      </w:r>
    </w:p>
    <w:p w14:paraId="19D4EDD4" w14:textId="6E50A98D" w:rsidR="0092063B" w:rsidRPr="00B03D32" w:rsidRDefault="00A32F78" w:rsidP="003C7CFC">
      <w:pPr>
        <w:rPr>
          <w:rFonts w:ascii="Arial" w:hAnsi="Arial" w:cs="Arial"/>
          <w:color w:val="0D0D0D" w:themeColor="text1" w:themeTint="F2"/>
          <w:sz w:val="22"/>
          <w:szCs w:val="22"/>
        </w:rPr>
      </w:pP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>Over a</w:t>
      </w:r>
      <w:r w:rsidR="002015C1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three-year period</w:t>
      </w:r>
      <w:r w:rsidR="00DB209C" w:rsidRPr="00B03D32">
        <w:rPr>
          <w:rFonts w:ascii="Arial" w:hAnsi="Arial" w:cs="Arial"/>
          <w:color w:val="0D0D0D" w:themeColor="text1" w:themeTint="F2"/>
          <w:sz w:val="22"/>
          <w:szCs w:val="22"/>
        </w:rPr>
        <w:t>,</w:t>
      </w:r>
      <w:r w:rsidR="002015C1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utility cost (electric and natural gas) and average maintenance cost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were collected</w:t>
      </w:r>
      <w:r w:rsidR="002015C1" w:rsidRPr="00B03D32">
        <w:rPr>
          <w:rFonts w:ascii="Arial" w:hAnsi="Arial" w:cs="Arial"/>
          <w:color w:val="0D0D0D" w:themeColor="text1" w:themeTint="F2"/>
          <w:sz w:val="22"/>
          <w:szCs w:val="22"/>
        </w:rPr>
        <w:t>. For a more accurate comparison, c</w:t>
      </w:r>
      <w:r w:rsidR="00F731A1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onstruction costs were estimated </w:t>
      </w:r>
      <w:r w:rsidR="002015C1" w:rsidRPr="00B03D32">
        <w:rPr>
          <w:rFonts w:ascii="Arial" w:hAnsi="Arial" w:cs="Arial"/>
          <w:color w:val="0D0D0D" w:themeColor="text1" w:themeTint="F2"/>
          <w:sz w:val="22"/>
          <w:szCs w:val="22"/>
        </w:rPr>
        <w:t>according to th</w:t>
      </w:r>
      <w:r w:rsidR="00F91964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e year each building was built, and utility rates and square footages of these facilities were also normalized to remove any other outside factors. </w:t>
      </w:r>
      <w:r w:rsidR="006A62DF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The </w:t>
      </w:r>
      <w:r w:rsidR="00095FF0" w:rsidRPr="00B03D32">
        <w:rPr>
          <w:rFonts w:ascii="Arial" w:hAnsi="Arial" w:cs="Arial"/>
          <w:color w:val="0D0D0D" w:themeColor="text1" w:themeTint="F2"/>
          <w:sz w:val="22"/>
          <w:szCs w:val="22"/>
        </w:rPr>
        <w:t>average electric rate ($k/kWh) and natural gas rate ($/</w:t>
      </w:r>
      <w:proofErr w:type="spellStart"/>
      <w:r w:rsidR="00095FF0" w:rsidRPr="00B03D32">
        <w:rPr>
          <w:rFonts w:ascii="Arial" w:hAnsi="Arial" w:cs="Arial"/>
          <w:color w:val="0D0D0D" w:themeColor="text1" w:themeTint="F2"/>
          <w:sz w:val="22"/>
          <w:szCs w:val="22"/>
        </w:rPr>
        <w:t>therm</w:t>
      </w:r>
      <w:proofErr w:type="spellEnd"/>
      <w:r w:rsidR="00095FF0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) from the sample buildings were multiplied by each building’s electric and natural gas consumption to calculate a normalized energy cost ($/SF) for each building. </w:t>
      </w:r>
      <w:r w:rsidR="00603007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Each building’s square footage </w:t>
      </w:r>
      <w:r w:rsidR="00227AD3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was also </w:t>
      </w:r>
      <w:r w:rsidR="00B85BF0" w:rsidRPr="00B03D32">
        <w:rPr>
          <w:rFonts w:ascii="Arial" w:hAnsi="Arial" w:cs="Arial"/>
          <w:color w:val="0D0D0D" w:themeColor="text1" w:themeTint="F2"/>
          <w:sz w:val="22"/>
          <w:szCs w:val="22"/>
        </w:rPr>
        <w:t>considered</w:t>
      </w:r>
      <w:r w:rsidR="00603007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when calculating maintenance and install</w:t>
      </w:r>
      <w:r w:rsidR="00C96E98" w:rsidRPr="00B03D32">
        <w:rPr>
          <w:rFonts w:ascii="Arial" w:hAnsi="Arial" w:cs="Arial"/>
          <w:color w:val="0D0D0D" w:themeColor="text1" w:themeTint="F2"/>
          <w:sz w:val="22"/>
          <w:szCs w:val="22"/>
        </w:rPr>
        <w:t>ation</w:t>
      </w:r>
      <w:r w:rsidR="00603007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cost.</w:t>
      </w:r>
    </w:p>
    <w:p w14:paraId="71CDA376" w14:textId="7904CB64" w:rsidR="009221B1" w:rsidRPr="00B03D32" w:rsidRDefault="009221B1" w:rsidP="003C7CFC">
      <w:pPr>
        <w:rPr>
          <w:rFonts w:ascii="Arial" w:hAnsi="Arial" w:cs="Arial"/>
          <w:b/>
          <w:i/>
          <w:color w:val="0D0D0D" w:themeColor="text1" w:themeTint="F2"/>
          <w:sz w:val="22"/>
          <w:szCs w:val="22"/>
        </w:rPr>
      </w:pPr>
    </w:p>
    <w:p w14:paraId="47FBC053" w14:textId="33DE07B4" w:rsidR="009221B1" w:rsidRPr="00B03D32" w:rsidRDefault="009221B1" w:rsidP="003C7CFC">
      <w:pPr>
        <w:rPr>
          <w:rFonts w:ascii="Arial" w:hAnsi="Arial" w:cs="Arial"/>
          <w:b/>
          <w:color w:val="0D0D0D" w:themeColor="text1" w:themeTint="F2"/>
          <w:sz w:val="22"/>
          <w:szCs w:val="22"/>
        </w:rPr>
      </w:pPr>
      <w:r w:rsidRPr="00B03D32">
        <w:rPr>
          <w:rFonts w:ascii="Arial" w:hAnsi="Arial" w:cs="Arial"/>
          <w:b/>
          <w:color w:val="0D0D0D" w:themeColor="text1" w:themeTint="F2"/>
          <w:sz w:val="22"/>
          <w:szCs w:val="22"/>
        </w:rPr>
        <w:t>Findings</w:t>
      </w:r>
    </w:p>
    <w:p w14:paraId="60B941E7" w14:textId="2790DF52" w:rsidR="00695BE1" w:rsidRPr="00B03D32" w:rsidRDefault="00695BE1" w:rsidP="003C7CFC">
      <w:pPr>
        <w:rPr>
          <w:rFonts w:ascii="Arial" w:hAnsi="Arial" w:cs="Arial"/>
          <w:color w:val="0D0D0D" w:themeColor="text1" w:themeTint="F2"/>
          <w:sz w:val="22"/>
          <w:szCs w:val="22"/>
        </w:rPr>
      </w:pP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>From a life</w:t>
      </w:r>
      <w:r w:rsidR="00F46C55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>cycle cost perspective, the primary drivers of a purely economic decision of all HVAC system types a</w:t>
      </w:r>
      <w:r w:rsidR="00B360CF" w:rsidRPr="00B03D32">
        <w:rPr>
          <w:rFonts w:ascii="Arial" w:hAnsi="Arial" w:cs="Arial"/>
          <w:color w:val="0D0D0D" w:themeColor="text1" w:themeTint="F2"/>
          <w:sz w:val="22"/>
          <w:szCs w:val="22"/>
        </w:rPr>
        <w:t>re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installation and energy cost. </w:t>
      </w:r>
      <w:r w:rsidR="00536B1E" w:rsidRPr="00B03D32">
        <w:rPr>
          <w:rFonts w:ascii="Arial" w:hAnsi="Arial" w:cs="Arial"/>
          <w:color w:val="0D0D0D" w:themeColor="text1" w:themeTint="F2"/>
          <w:sz w:val="22"/>
          <w:szCs w:val="22"/>
        </w:rPr>
        <w:t>However, t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hese costs are often interrelated </w:t>
      </w:r>
      <w:r w:rsidR="00536B1E" w:rsidRPr="00B03D32">
        <w:rPr>
          <w:rFonts w:ascii="Arial" w:hAnsi="Arial" w:cs="Arial"/>
          <w:color w:val="0D0D0D" w:themeColor="text1" w:themeTint="F2"/>
          <w:sz w:val="22"/>
          <w:szCs w:val="22"/>
        </w:rPr>
        <w:t>with a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maintenance department’s unfamiliarity and uncertainty with a</w:t>
      </w:r>
      <w:r w:rsidR="00536B1E" w:rsidRPr="00B03D32">
        <w:rPr>
          <w:rFonts w:ascii="Arial" w:hAnsi="Arial" w:cs="Arial"/>
          <w:color w:val="0D0D0D" w:themeColor="text1" w:themeTint="F2"/>
          <w:sz w:val="22"/>
          <w:szCs w:val="22"/>
        </w:rPr>
        <w:t>ny given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system</w:t>
      </w:r>
      <w:r w:rsidR="00536B1E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, eventually </w:t>
      </w:r>
      <w:r w:rsidR="00362191" w:rsidRPr="00B03D32">
        <w:rPr>
          <w:rFonts w:ascii="Arial" w:hAnsi="Arial" w:cs="Arial"/>
          <w:color w:val="0D0D0D" w:themeColor="text1" w:themeTint="F2"/>
          <w:sz w:val="22"/>
          <w:szCs w:val="22"/>
        </w:rPr>
        <w:t>showing in the form of increase utility cost from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overrides and other changes </w:t>
      </w:r>
      <w:r w:rsidR="006C0CAC" w:rsidRPr="00B03D32">
        <w:rPr>
          <w:rFonts w:ascii="Arial" w:hAnsi="Arial" w:cs="Arial"/>
          <w:color w:val="0D0D0D" w:themeColor="text1" w:themeTint="F2"/>
          <w:sz w:val="22"/>
          <w:szCs w:val="22"/>
        </w:rPr>
        <w:t>to the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system design. </w:t>
      </w:r>
    </w:p>
    <w:p w14:paraId="3FED40BC" w14:textId="7244E197" w:rsidR="00227AD3" w:rsidRPr="00B03D32" w:rsidRDefault="00F91964" w:rsidP="003C7CFC">
      <w:pPr>
        <w:pStyle w:val="NormalWeb"/>
        <w:rPr>
          <w:rFonts w:ascii="Arial" w:hAnsi="Arial" w:cs="Arial"/>
          <w:color w:val="0D0D0D" w:themeColor="text1" w:themeTint="F2"/>
          <w:sz w:val="22"/>
          <w:szCs w:val="22"/>
        </w:rPr>
      </w:pP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lastRenderedPageBreak/>
        <w:t xml:space="preserve">The study’s findings </w:t>
      </w:r>
      <w:r w:rsidR="00072190" w:rsidRPr="00B03D32">
        <w:rPr>
          <w:rFonts w:ascii="Arial" w:hAnsi="Arial" w:cs="Arial"/>
          <w:color w:val="0D0D0D" w:themeColor="text1" w:themeTint="F2"/>
          <w:sz w:val="22"/>
          <w:szCs w:val="22"/>
        </w:rPr>
        <w:t>resulted in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th</w:t>
      </w:r>
      <w:r w:rsidR="00227AD3" w:rsidRPr="00B03D32">
        <w:rPr>
          <w:rFonts w:ascii="Arial" w:hAnsi="Arial" w:cs="Arial"/>
          <w:color w:val="0D0D0D" w:themeColor="text1" w:themeTint="F2"/>
          <w:sz w:val="22"/>
          <w:szCs w:val="22"/>
        </w:rPr>
        <w:t>e following ranking in life</w:t>
      </w:r>
      <w:r w:rsidR="00D56A38" w:rsidRPr="00B03D32">
        <w:rPr>
          <w:rFonts w:ascii="Arial" w:hAnsi="Arial" w:cs="Arial"/>
          <w:color w:val="0D0D0D" w:themeColor="text1" w:themeTint="F2"/>
          <w:sz w:val="22"/>
          <w:szCs w:val="22"/>
        </w:rPr>
        <w:t>-</w:t>
      </w:r>
      <w:r w:rsidR="00227AD3" w:rsidRPr="00B03D32">
        <w:rPr>
          <w:rFonts w:ascii="Arial" w:hAnsi="Arial" w:cs="Arial"/>
          <w:color w:val="0D0D0D" w:themeColor="text1" w:themeTint="F2"/>
          <w:sz w:val="22"/>
          <w:szCs w:val="22"/>
        </w:rPr>
        <w:t>cycle cost analysis from lowest to highest</w:t>
      </w:r>
      <w:r w:rsidR="002E0897" w:rsidRPr="00B03D32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62D7FB0E" w14:textId="4C363EA5" w:rsidR="00DA0AA2" w:rsidRPr="00B03D32" w:rsidRDefault="00F6663A" w:rsidP="00F6663A">
      <w:pPr>
        <w:spacing w:line="276" w:lineRule="auto"/>
        <w:jc w:val="center"/>
        <w:rPr>
          <w:rFonts w:ascii="Arial" w:hAnsi="Arial" w:cs="Arial"/>
          <w:color w:val="0D0D0D" w:themeColor="text1" w:themeTint="F2"/>
          <w:sz w:val="22"/>
          <w:szCs w:val="22"/>
        </w:rPr>
      </w:pPr>
      <w:r w:rsidRPr="00B03D32">
        <w:rPr>
          <w:rFonts w:ascii="Arial" w:eastAsia="Times New Roman" w:hAnsi="Arial" w:cs="Arial"/>
          <w:b/>
          <w:i/>
          <w:color w:val="0D0D0D" w:themeColor="text1" w:themeTint="F2"/>
          <w:sz w:val="22"/>
          <w:szCs w:val="22"/>
        </w:rPr>
        <w:t xml:space="preserve">Figure </w:t>
      </w:r>
      <w:r w:rsidR="001F6DA8" w:rsidRPr="00B03D32">
        <w:rPr>
          <w:rFonts w:ascii="Arial" w:eastAsia="Times New Roman" w:hAnsi="Arial" w:cs="Arial"/>
          <w:b/>
          <w:i/>
          <w:color w:val="0D0D0D" w:themeColor="text1" w:themeTint="F2"/>
          <w:sz w:val="22"/>
          <w:szCs w:val="22"/>
        </w:rPr>
        <w:t>1</w:t>
      </w:r>
      <w:r w:rsidR="00E04C6A" w:rsidRPr="00B03D32">
        <w:rPr>
          <w:rFonts w:ascii="Arial" w:hAnsi="Arial" w:cs="Arial"/>
          <w:noProof/>
          <w:color w:val="0D0D0D" w:themeColor="text1" w:themeTint="F2"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6BEA9D72" wp14:editId="5566E3FB">
            <wp:simplePos x="0" y="0"/>
            <wp:positionH relativeFrom="column">
              <wp:posOffset>190500</wp:posOffset>
            </wp:positionH>
            <wp:positionV relativeFrom="paragraph">
              <wp:posOffset>151324</wp:posOffset>
            </wp:positionV>
            <wp:extent cx="5105400" cy="23653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05-14 at 10.10.02 AM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20DCF" w14:textId="77777777" w:rsidR="001F6DA8" w:rsidRPr="00B03D32" w:rsidRDefault="001F6DA8" w:rsidP="001F6DA8">
      <w:pPr>
        <w:pStyle w:val="NormalWeb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718DF271" w14:textId="12D27792" w:rsidR="001F6DA8" w:rsidRPr="00B03D32" w:rsidRDefault="001F6DA8" w:rsidP="00F6663A">
      <w:pPr>
        <w:pStyle w:val="NormalWeb"/>
        <w:rPr>
          <w:rFonts w:ascii="Arial" w:hAnsi="Arial" w:cs="Arial"/>
          <w:color w:val="0D0D0D" w:themeColor="text1" w:themeTint="F2"/>
          <w:sz w:val="22"/>
          <w:szCs w:val="22"/>
        </w:rPr>
      </w:pP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As exhibited in </w:t>
      </w:r>
      <w:r w:rsidR="00F6663A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Figure 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>1, replacement allocations had an impact on the life</w:t>
      </w:r>
      <w:r w:rsidR="00F46C55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>cycle cost analysis (see yellow bars) and drastically reduced the cost effectiveness of equipment with 15-year life expectancies.</w:t>
      </w:r>
    </w:p>
    <w:p w14:paraId="70C7AE4B" w14:textId="4E89FADD" w:rsidR="000058CD" w:rsidRPr="00B03D32" w:rsidRDefault="000058CD" w:rsidP="003C7CFC">
      <w:pPr>
        <w:rPr>
          <w:rFonts w:ascii="Arial" w:hAnsi="Arial" w:cs="Arial"/>
          <w:b/>
          <w:color w:val="0D0D0D" w:themeColor="text1" w:themeTint="F2"/>
          <w:sz w:val="22"/>
          <w:szCs w:val="22"/>
        </w:rPr>
      </w:pPr>
      <w:r w:rsidRPr="00B03D32">
        <w:rPr>
          <w:rFonts w:ascii="Arial" w:hAnsi="Arial" w:cs="Arial"/>
          <w:b/>
          <w:color w:val="0D0D0D" w:themeColor="text1" w:themeTint="F2"/>
          <w:sz w:val="22"/>
          <w:szCs w:val="22"/>
        </w:rPr>
        <w:t>Conclusion</w:t>
      </w:r>
    </w:p>
    <w:p w14:paraId="73F60843" w14:textId="290AD0F4" w:rsidR="00114D3A" w:rsidRPr="00B03D32" w:rsidRDefault="00CA01B7" w:rsidP="003C7CFC">
      <w:pPr>
        <w:rPr>
          <w:rFonts w:ascii="Arial" w:hAnsi="Arial" w:cs="Arial"/>
          <w:color w:val="0D0D0D" w:themeColor="text1" w:themeTint="F2"/>
          <w:sz w:val="22"/>
          <w:szCs w:val="22"/>
        </w:rPr>
      </w:pP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As </w:t>
      </w:r>
      <w:r w:rsidR="000C6420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design engineers, building owners and mechanical contractors strive for more sustainable and energy-efficient practices, these findings shed light on 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the </w:t>
      </w:r>
      <w:r w:rsidR="00F6663A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differences among systems, particularly 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>hydronic and VRF systems.</w:t>
      </w:r>
      <w:r w:rsidR="00783807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C</w:t>
      </w:r>
      <w:r w:rsidR="00D21293" w:rsidRPr="00B03D32">
        <w:rPr>
          <w:rFonts w:ascii="Arial" w:hAnsi="Arial" w:cs="Arial"/>
          <w:color w:val="0D0D0D" w:themeColor="text1" w:themeTint="F2"/>
          <w:sz w:val="22"/>
          <w:szCs w:val="22"/>
        </w:rPr>
        <w:t>onsiderable</w:t>
      </w:r>
      <w:r w:rsidR="00A66159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benefits of hydronic HVAC systems include low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>er</w:t>
      </w:r>
      <w:r w:rsidR="00A66159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energy usage intensity and cost</w:t>
      </w:r>
      <w:r w:rsidR="00C33D9E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, 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wider range of </w:t>
      </w:r>
      <w:r w:rsidR="00AA18EC" w:rsidRPr="00B03D32">
        <w:rPr>
          <w:rFonts w:ascii="Arial" w:hAnsi="Arial" w:cs="Arial"/>
          <w:color w:val="0D0D0D" w:themeColor="text1" w:themeTint="F2"/>
          <w:sz w:val="22"/>
          <w:szCs w:val="22"/>
        </w:rPr>
        <w:t>maintenance flexibility</w:t>
      </w: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and longer life expectancy. </w:t>
      </w:r>
    </w:p>
    <w:p w14:paraId="04057EB6" w14:textId="77777777" w:rsidR="00114D3A" w:rsidRPr="00B03D32" w:rsidRDefault="00114D3A" w:rsidP="00F11481">
      <w:pPr>
        <w:spacing w:line="276" w:lineRule="auto"/>
        <w:ind w:firstLine="720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4E6E8829" w14:textId="0D00812D" w:rsidR="002573C8" w:rsidRPr="00B03D32" w:rsidRDefault="00783807" w:rsidP="003C7CFC">
      <w:pPr>
        <w:rPr>
          <w:rFonts w:ascii="Arial" w:hAnsi="Arial" w:cs="Arial"/>
          <w:color w:val="0D0D0D" w:themeColor="text1" w:themeTint="F2"/>
          <w:sz w:val="22"/>
          <w:szCs w:val="22"/>
        </w:rPr>
      </w:pPr>
      <w:r w:rsidRPr="00B03D32">
        <w:rPr>
          <w:rFonts w:ascii="Arial" w:hAnsi="Arial" w:cs="Arial"/>
          <w:color w:val="0D0D0D" w:themeColor="text1" w:themeTint="F2"/>
          <w:sz w:val="22"/>
          <w:szCs w:val="22"/>
        </w:rPr>
        <w:t>Specifically, t</w:t>
      </w:r>
      <w:r w:rsidR="00B24764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he schools with WSHP and GSHP </w:t>
      </w:r>
      <w:r w:rsidR="00B85BF0" w:rsidRPr="00B03D32">
        <w:rPr>
          <w:rFonts w:ascii="Arial" w:hAnsi="Arial" w:cs="Arial"/>
          <w:color w:val="0D0D0D" w:themeColor="text1" w:themeTint="F2"/>
          <w:sz w:val="22"/>
          <w:szCs w:val="22"/>
        </w:rPr>
        <w:t>systems</w:t>
      </w:r>
      <w:r w:rsidR="00B24764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display</w:t>
      </w:r>
      <w:r w:rsidR="00EF7434" w:rsidRPr="00B03D32">
        <w:rPr>
          <w:rFonts w:ascii="Arial" w:hAnsi="Arial" w:cs="Arial"/>
          <w:color w:val="0D0D0D" w:themeColor="text1" w:themeTint="F2"/>
          <w:sz w:val="22"/>
          <w:szCs w:val="22"/>
        </w:rPr>
        <w:t>ed</w:t>
      </w:r>
      <w:r w:rsidR="00B24764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energy use levels that </w:t>
      </w:r>
      <w:r w:rsidR="00EF7434" w:rsidRPr="00B03D32">
        <w:rPr>
          <w:rFonts w:ascii="Arial" w:hAnsi="Arial" w:cs="Arial"/>
          <w:color w:val="0D0D0D" w:themeColor="text1" w:themeTint="F2"/>
          <w:sz w:val="22"/>
          <w:szCs w:val="22"/>
        </w:rPr>
        <w:t>were</w:t>
      </w:r>
      <w:r w:rsidR="00B24764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30 percent (40.7 </w:t>
      </w:r>
      <w:proofErr w:type="spellStart"/>
      <w:r w:rsidR="00B24764" w:rsidRPr="00B03D32">
        <w:rPr>
          <w:rFonts w:ascii="Arial" w:hAnsi="Arial" w:cs="Arial"/>
          <w:color w:val="0D0D0D" w:themeColor="text1" w:themeTint="F2"/>
          <w:sz w:val="22"/>
          <w:szCs w:val="22"/>
        </w:rPr>
        <w:t>kBtu</w:t>
      </w:r>
      <w:proofErr w:type="spellEnd"/>
      <w:r w:rsidR="00B24764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/sf) and 41 percent (34.4 </w:t>
      </w:r>
      <w:proofErr w:type="spellStart"/>
      <w:r w:rsidR="00B24764" w:rsidRPr="00B03D32">
        <w:rPr>
          <w:rFonts w:ascii="Arial" w:hAnsi="Arial" w:cs="Arial"/>
          <w:color w:val="0D0D0D" w:themeColor="text1" w:themeTint="F2"/>
          <w:sz w:val="22"/>
          <w:szCs w:val="22"/>
        </w:rPr>
        <w:t>kBtu</w:t>
      </w:r>
      <w:proofErr w:type="spellEnd"/>
      <w:r w:rsidR="00B24764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/sf) better than the national median for elementary and middle schools (58.2 </w:t>
      </w:r>
      <w:proofErr w:type="spellStart"/>
      <w:r w:rsidR="00B24764" w:rsidRPr="00B03D32">
        <w:rPr>
          <w:rFonts w:ascii="Arial" w:hAnsi="Arial" w:cs="Arial"/>
          <w:color w:val="0D0D0D" w:themeColor="text1" w:themeTint="F2"/>
          <w:sz w:val="22"/>
          <w:szCs w:val="22"/>
        </w:rPr>
        <w:t>kBtu</w:t>
      </w:r>
      <w:proofErr w:type="spellEnd"/>
      <w:r w:rsidR="00B24764" w:rsidRPr="00B03D32">
        <w:rPr>
          <w:rFonts w:ascii="Arial" w:hAnsi="Arial" w:cs="Arial"/>
          <w:color w:val="0D0D0D" w:themeColor="text1" w:themeTint="F2"/>
          <w:sz w:val="22"/>
          <w:szCs w:val="22"/>
        </w:rPr>
        <w:t>/sf), respectively.</w:t>
      </w:r>
      <w:r w:rsidR="00EA61EE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F11481" w:rsidRPr="00B03D32">
        <w:rPr>
          <w:rFonts w:ascii="Arial" w:hAnsi="Arial" w:cs="Arial"/>
          <w:color w:val="0D0D0D" w:themeColor="text1" w:themeTint="F2"/>
          <w:sz w:val="22"/>
          <w:szCs w:val="22"/>
        </w:rPr>
        <w:t>The</w:t>
      </w:r>
      <w:r w:rsidR="00C33D9E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replacement cost allocation </w:t>
      </w:r>
      <w:r w:rsidR="00F11481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also </w:t>
      </w:r>
      <w:r w:rsidR="00C33D9E" w:rsidRPr="00B03D32">
        <w:rPr>
          <w:rFonts w:ascii="Arial" w:hAnsi="Arial" w:cs="Arial"/>
          <w:color w:val="0D0D0D" w:themeColor="text1" w:themeTint="F2"/>
          <w:sz w:val="22"/>
          <w:szCs w:val="22"/>
        </w:rPr>
        <w:t>acknowledged that the tested hydronic systems operate</w:t>
      </w:r>
      <w:r w:rsidR="00F11481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effectively for approximately 25 years</w:t>
      </w:r>
      <w:r w:rsidR="00C33D9E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. The </w:t>
      </w:r>
      <w:r w:rsidR="00AA3F15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tested </w:t>
      </w:r>
      <w:r w:rsidR="00F11481" w:rsidRPr="00B03D32">
        <w:rPr>
          <w:rFonts w:ascii="Arial" w:hAnsi="Arial" w:cs="Arial"/>
          <w:color w:val="0D0D0D" w:themeColor="text1" w:themeTint="F2"/>
          <w:sz w:val="22"/>
          <w:szCs w:val="22"/>
        </w:rPr>
        <w:t>VRF</w:t>
      </w:r>
      <w:r w:rsidR="00DE78C4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systems </w:t>
      </w:r>
      <w:r w:rsidR="00C33D9E" w:rsidRPr="00B03D32">
        <w:rPr>
          <w:rFonts w:ascii="Arial" w:hAnsi="Arial" w:cs="Arial"/>
          <w:color w:val="0D0D0D" w:themeColor="text1" w:themeTint="F2"/>
          <w:sz w:val="22"/>
          <w:szCs w:val="22"/>
        </w:rPr>
        <w:t>require</w:t>
      </w:r>
      <w:r w:rsidR="00F11481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replacement a decade earlier</w:t>
      </w:r>
      <w:r w:rsidR="00C9782E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because of their tendency to work harder during heating cycles</w:t>
      </w:r>
      <w:r w:rsidR="000C6420" w:rsidRPr="00B03D32">
        <w:rPr>
          <w:rFonts w:ascii="Arial" w:hAnsi="Arial" w:cs="Arial"/>
          <w:color w:val="0D0D0D" w:themeColor="text1" w:themeTint="F2"/>
          <w:sz w:val="22"/>
          <w:szCs w:val="22"/>
        </w:rPr>
        <w:t>, ultimately</w:t>
      </w:r>
      <w:r w:rsidR="0063787E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D82D65" w:rsidRPr="00B03D32">
        <w:rPr>
          <w:rFonts w:ascii="Arial" w:hAnsi="Arial" w:cs="Arial"/>
          <w:color w:val="0D0D0D" w:themeColor="text1" w:themeTint="F2"/>
          <w:sz w:val="22"/>
          <w:szCs w:val="22"/>
        </w:rPr>
        <w:t>bring</w:t>
      </w:r>
      <w:r w:rsidR="000C6420" w:rsidRPr="00B03D32">
        <w:rPr>
          <w:rFonts w:ascii="Arial" w:hAnsi="Arial" w:cs="Arial"/>
          <w:color w:val="0D0D0D" w:themeColor="text1" w:themeTint="F2"/>
          <w:sz w:val="22"/>
          <w:szCs w:val="22"/>
        </w:rPr>
        <w:t>ing</w:t>
      </w:r>
      <w:r w:rsidR="00D82D65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proof of long-term cost savings to the forefront of the conversation surrounding sustainability and </w:t>
      </w:r>
      <w:r w:rsidR="00DE78C4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hydronic </w:t>
      </w:r>
      <w:r w:rsidR="00D82D65" w:rsidRPr="00B03D32">
        <w:rPr>
          <w:rFonts w:ascii="Arial" w:hAnsi="Arial" w:cs="Arial"/>
          <w:color w:val="0D0D0D" w:themeColor="text1" w:themeTint="F2"/>
          <w:sz w:val="22"/>
          <w:szCs w:val="22"/>
        </w:rPr>
        <w:t>HVAC system efficiency.</w:t>
      </w:r>
      <w:r w:rsidR="00AF6EB4" w:rsidRPr="00B03D32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</w:p>
    <w:p w14:paraId="5CCD434C" w14:textId="499B98B8" w:rsidR="00072190" w:rsidRPr="00B03D32" w:rsidRDefault="00072190" w:rsidP="005D3209">
      <w:pPr>
        <w:spacing w:line="276" w:lineRule="auto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713EAA13" w14:textId="57F34C8B" w:rsidR="00072190" w:rsidRPr="00B03D32" w:rsidRDefault="0097086C" w:rsidP="005D3209">
      <w:pPr>
        <w:spacing w:line="276" w:lineRule="auto"/>
        <w:rPr>
          <w:rFonts w:ascii="Arial" w:hAnsi="Arial" w:cs="Arial"/>
          <w:color w:val="262626" w:themeColor="text1" w:themeTint="D9"/>
          <w:sz w:val="22"/>
          <w:szCs w:val="22"/>
        </w:rPr>
      </w:pPr>
      <w:r w:rsidRPr="00B03D32">
        <w:rPr>
          <w:rFonts w:ascii="Arial" w:hAnsi="Arial" w:cs="Arial"/>
          <w:color w:val="262626" w:themeColor="text1" w:themeTint="D9"/>
          <w:sz w:val="22"/>
          <w:szCs w:val="22"/>
        </w:rPr>
        <w:tab/>
      </w:r>
    </w:p>
    <w:sectPr w:rsidR="00072190" w:rsidRPr="00B03D32" w:rsidSect="003434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929C3"/>
    <w:multiLevelType w:val="hybridMultilevel"/>
    <w:tmpl w:val="8CC8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E52B9"/>
    <w:multiLevelType w:val="hybridMultilevel"/>
    <w:tmpl w:val="7F5C8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A7288"/>
    <w:multiLevelType w:val="hybridMultilevel"/>
    <w:tmpl w:val="12FE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87356"/>
    <w:multiLevelType w:val="hybridMultilevel"/>
    <w:tmpl w:val="FF8AF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10"/>
    <w:rsid w:val="000058CD"/>
    <w:rsid w:val="00011553"/>
    <w:rsid w:val="0003454B"/>
    <w:rsid w:val="00055DBC"/>
    <w:rsid w:val="00072190"/>
    <w:rsid w:val="00095FF0"/>
    <w:rsid w:val="000C2F83"/>
    <w:rsid w:val="000C6420"/>
    <w:rsid w:val="000F0C6F"/>
    <w:rsid w:val="00114D3A"/>
    <w:rsid w:val="001755BC"/>
    <w:rsid w:val="001A358D"/>
    <w:rsid w:val="001F543F"/>
    <w:rsid w:val="001F6DA8"/>
    <w:rsid w:val="002015C1"/>
    <w:rsid w:val="00227AD3"/>
    <w:rsid w:val="002421AB"/>
    <w:rsid w:val="002421C6"/>
    <w:rsid w:val="002559EB"/>
    <w:rsid w:val="002573C8"/>
    <w:rsid w:val="0029199C"/>
    <w:rsid w:val="00292764"/>
    <w:rsid w:val="002A4730"/>
    <w:rsid w:val="002C66CD"/>
    <w:rsid w:val="002E0897"/>
    <w:rsid w:val="00303EFC"/>
    <w:rsid w:val="00343450"/>
    <w:rsid w:val="00362191"/>
    <w:rsid w:val="00364066"/>
    <w:rsid w:val="0038031E"/>
    <w:rsid w:val="003A5769"/>
    <w:rsid w:val="003A5F60"/>
    <w:rsid w:val="003B60E7"/>
    <w:rsid w:val="003C7CFC"/>
    <w:rsid w:val="003F7F79"/>
    <w:rsid w:val="00407C94"/>
    <w:rsid w:val="00426314"/>
    <w:rsid w:val="004B6100"/>
    <w:rsid w:val="00536B1E"/>
    <w:rsid w:val="005547CA"/>
    <w:rsid w:val="005A6B3A"/>
    <w:rsid w:val="005D3209"/>
    <w:rsid w:val="005D7DCC"/>
    <w:rsid w:val="005F1A87"/>
    <w:rsid w:val="005F65E9"/>
    <w:rsid w:val="00603007"/>
    <w:rsid w:val="00614F30"/>
    <w:rsid w:val="006156A2"/>
    <w:rsid w:val="00625C85"/>
    <w:rsid w:val="0063787E"/>
    <w:rsid w:val="0066448E"/>
    <w:rsid w:val="0069464F"/>
    <w:rsid w:val="00695BE1"/>
    <w:rsid w:val="006A1675"/>
    <w:rsid w:val="006A62DF"/>
    <w:rsid w:val="006C0CAC"/>
    <w:rsid w:val="006C5BB3"/>
    <w:rsid w:val="006D022D"/>
    <w:rsid w:val="006D21FD"/>
    <w:rsid w:val="006F6DDF"/>
    <w:rsid w:val="00710BA7"/>
    <w:rsid w:val="00722995"/>
    <w:rsid w:val="0073778F"/>
    <w:rsid w:val="00747686"/>
    <w:rsid w:val="00751729"/>
    <w:rsid w:val="00783807"/>
    <w:rsid w:val="007841B2"/>
    <w:rsid w:val="007E7269"/>
    <w:rsid w:val="007F766E"/>
    <w:rsid w:val="00822FC0"/>
    <w:rsid w:val="00826668"/>
    <w:rsid w:val="00852FB3"/>
    <w:rsid w:val="00865C10"/>
    <w:rsid w:val="008B01F2"/>
    <w:rsid w:val="008E7417"/>
    <w:rsid w:val="008E7A98"/>
    <w:rsid w:val="0091218D"/>
    <w:rsid w:val="009153AA"/>
    <w:rsid w:val="0092063B"/>
    <w:rsid w:val="009221B1"/>
    <w:rsid w:val="00931A5A"/>
    <w:rsid w:val="0097086C"/>
    <w:rsid w:val="00973C4E"/>
    <w:rsid w:val="00981FF0"/>
    <w:rsid w:val="00997548"/>
    <w:rsid w:val="009F43B8"/>
    <w:rsid w:val="00A32F78"/>
    <w:rsid w:val="00A41081"/>
    <w:rsid w:val="00A55B27"/>
    <w:rsid w:val="00A66159"/>
    <w:rsid w:val="00AA18EC"/>
    <w:rsid w:val="00AA3F15"/>
    <w:rsid w:val="00AE040B"/>
    <w:rsid w:val="00AF6EB4"/>
    <w:rsid w:val="00B03D32"/>
    <w:rsid w:val="00B24764"/>
    <w:rsid w:val="00B30D54"/>
    <w:rsid w:val="00B360CF"/>
    <w:rsid w:val="00B43E4B"/>
    <w:rsid w:val="00B55B83"/>
    <w:rsid w:val="00B81DAE"/>
    <w:rsid w:val="00B85BF0"/>
    <w:rsid w:val="00B902A4"/>
    <w:rsid w:val="00BA1A49"/>
    <w:rsid w:val="00BA502E"/>
    <w:rsid w:val="00BB6D2B"/>
    <w:rsid w:val="00BD3AB7"/>
    <w:rsid w:val="00BF1115"/>
    <w:rsid w:val="00C17302"/>
    <w:rsid w:val="00C33D9E"/>
    <w:rsid w:val="00C45E81"/>
    <w:rsid w:val="00C9133D"/>
    <w:rsid w:val="00C96E98"/>
    <w:rsid w:val="00C9782E"/>
    <w:rsid w:val="00CA01B7"/>
    <w:rsid w:val="00D02AA5"/>
    <w:rsid w:val="00D21293"/>
    <w:rsid w:val="00D33720"/>
    <w:rsid w:val="00D56A38"/>
    <w:rsid w:val="00D7226B"/>
    <w:rsid w:val="00D82D65"/>
    <w:rsid w:val="00DA0AA2"/>
    <w:rsid w:val="00DB209C"/>
    <w:rsid w:val="00DB650D"/>
    <w:rsid w:val="00DE78C4"/>
    <w:rsid w:val="00DF0C51"/>
    <w:rsid w:val="00E04C6A"/>
    <w:rsid w:val="00E11812"/>
    <w:rsid w:val="00E12719"/>
    <w:rsid w:val="00E1368D"/>
    <w:rsid w:val="00E13A2A"/>
    <w:rsid w:val="00E25184"/>
    <w:rsid w:val="00E3526D"/>
    <w:rsid w:val="00E44F91"/>
    <w:rsid w:val="00E47230"/>
    <w:rsid w:val="00EA61EE"/>
    <w:rsid w:val="00EC6129"/>
    <w:rsid w:val="00EF7434"/>
    <w:rsid w:val="00F01D06"/>
    <w:rsid w:val="00F11481"/>
    <w:rsid w:val="00F1602E"/>
    <w:rsid w:val="00F46C55"/>
    <w:rsid w:val="00F6663A"/>
    <w:rsid w:val="00F731A1"/>
    <w:rsid w:val="00F76018"/>
    <w:rsid w:val="00F91964"/>
    <w:rsid w:val="00FC16DF"/>
    <w:rsid w:val="00FC3ABE"/>
    <w:rsid w:val="00FD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A05636"/>
  <w14:defaultImageDpi w14:val="300"/>
  <w15:docId w15:val="{EC239B83-81BC-6F4A-A6FA-45ECDE1B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7C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7C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73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3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3C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118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56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0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1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Branigan Communications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Olson</dc:creator>
  <cp:lastModifiedBy>Janet Raasch</cp:lastModifiedBy>
  <cp:revision>3</cp:revision>
  <dcterms:created xsi:type="dcterms:W3CDTF">2019-10-15T15:40:00Z</dcterms:created>
  <dcterms:modified xsi:type="dcterms:W3CDTF">2019-10-15T15:41:00Z</dcterms:modified>
</cp:coreProperties>
</file>